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Public records</w:t>
      </w:r>
    </w:p>
    <w:p>
      <w:pPr>
        <w:jc w:val="both"/>
        <w:spacing w:before="100" w:after="100"/>
        <w:ind w:start="360"/>
        <w:ind w:firstLine="360"/>
      </w:pPr>
      <w:r>
        <w:rPr/>
      </w:r>
      <w:r>
        <w:rPr/>
      </w:r>
      <w:r>
        <w:t xml:space="preserve">The commission shall retain for public inspection all completed code forms accepted by the commission under </w:t>
      </w:r>
      <w:r>
        <w:t>section 1103</w:t>
      </w:r>
      <w:r>
        <w:t xml:space="preserve">.  A code subscribed to by a candidate is a public record under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PL 2011, c. 662,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§1104.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§1104.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