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Alternative campaign financing option</w:t>
      </w:r>
    </w:p>
    <w:p>
      <w:pPr>
        <w:jc w:val="both"/>
        <w:spacing w:before="100" w:after="100"/>
        <w:ind w:start="360"/>
        <w:ind w:firstLine="360"/>
      </w:pPr>
      <w:r>
        <w:rPr/>
      </w:r>
      <w:r>
        <w:rPr/>
      </w:r>
      <w:r>
        <w:t xml:space="preserve">This chapter establishes an alternative campaign financing option available to candidates running for Governor, State Senator and State Representative.  This alternative campaign financing option is available to candidates for elections to be held beginning in the year 2000.  The commission shall administer this Act and the fund.  Candidates participating in the Maine Clean Election Act must also comply with all other applicable election and campaign laws and regulations.</w:t>
      </w:r>
      <w:r>
        <w:t xml:space="preserve">  </w:t>
      </w:r>
      <w:r xmlns:wp="http://schemas.openxmlformats.org/drawingml/2010/wordprocessingDrawing" xmlns:w15="http://schemas.microsoft.com/office/word/2012/wordml">
        <w:rPr>
          <w:rFonts w:ascii="Arial" w:hAnsi="Arial" w:cs="Arial"/>
          <w:sz w:val="22"/>
          <w:szCs w:val="22"/>
        </w:rPr>
        <w:t xml:space="preserve">[IB 1995, c. 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§1123. Alternative campaign financing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Alternative campaign financing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§1123. ALTERNATIVE CAMPAIGN FINANCING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