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Manner of appointing presidential electors in member states - Article 3</w:t>
      </w:r>
    </w:p>
    <w:p>
      <w:pPr>
        <w:jc w:val="both"/>
        <w:spacing w:before="100" w:after="100"/>
        <w:ind w:start="360"/>
        <w:ind w:firstLine="360"/>
      </w:pPr>
      <w:r>
        <w:rPr/>
      </w:r>
      <w:r>
        <w:rPr/>
      </w:r>
      <w:r>
        <w:t xml:space="preserve">Prior to the time set by law for the meeting of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designate the presidential slate with the largest national popular vote total as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presidential elector certifying official of each member state shall certify the appointment in that official's own state of the elector slate nominated in that state in association with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At least 6 days before the day fixed by law for the meeting of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In the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may nominate the presidential electors for that state and that state's presidential elector certifying official shall certify the appointment of such nominees.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immediately release to the public all vote counts or statements of votes as they are determined or obtained.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article governs the appointment of presidential electors in each member state in any year in which this agreement is, on July 20th, in effect in states cumulatively possessing a majority of the electoral votes.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Manner of appointing presidential electors in member states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Manner of appointing presidential electors in member states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§1304. MANNER OF APPOINTING PRESIDENTIAL ELECTORS IN MEMBER STATES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