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Advance registration and enrollment</w:t>
      </w:r>
    </w:p>
    <w:p>
      <w:pPr>
        <w:jc w:val="both"/>
        <w:spacing w:before="100" w:after="100"/>
        <w:ind w:start="360"/>
        <w:ind w:firstLine="360"/>
      </w:pPr>
      <w:r>
        <w:rPr/>
      </w:r>
      <w:r>
        <w:rPr/>
      </w:r>
      <w:r>
        <w:t xml:space="preserve">The registrar shall conditionally accept the registration and enrollment of any person who is 16 or 17 years of age and who is otherwise qualified to be a voter.  The conditional registration automatically becomes effective on the person's 18th birthday and the registrant then is eligible to vote.</w:t>
      </w:r>
      <w:r>
        <w:t xml:space="preserve">  </w:t>
      </w:r>
      <w:r xmlns:wp="http://schemas.openxmlformats.org/drawingml/2010/wordprocessingDrawing" xmlns:w15="http://schemas.microsoft.com/office/word/2012/wordml">
        <w:rPr>
          <w:rFonts w:ascii="Arial" w:hAnsi="Arial" w:cs="Arial"/>
          <w:sz w:val="22"/>
          <w:szCs w:val="22"/>
        </w:rPr>
        <w:t xml:space="preserve">[PL 2019, c. 409, §4 (AMD); PL 2019, c. 409, §9 (AFF).]</w:t>
      </w:r>
    </w:p>
    <w:p>
      <w:pPr>
        <w:jc w:val="both"/>
        <w:spacing w:before="100" w:after="100"/>
        <w:ind w:start="360"/>
        <w:ind w:firstLine="360"/>
      </w:pPr>
      <w:r>
        <w:rPr/>
      </w:r>
      <w:r>
        <w:rPr/>
      </w:r>
      <w:r>
        <w:t xml:space="preserve">A person who has registered under this section and who has not attained 18 years of age may vote by absentee ballot at any election if that person attains 18 years of age on or before the date of the election and is otherwise eligible to vote by absentee ballot.</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399, §1 (AMD). PL 2003, c. 407, §11 (AMD). PL 2005, c. 453, §30 (AMD). PL 2011, c. 342, §8 (AMD). PL 2019, c. 409, §4 (AMD). PL 2019, c. 409,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§155. Advance registration and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Advance registration and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§155. ADVANCE REGISTRATION AND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