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Appeal</w:t>
      </w:r>
    </w:p>
    <w:p>
      <w:pPr>
        <w:jc w:val="both"/>
        <w:spacing w:before="100" w:after="100"/>
        <w:ind w:start="360"/>
        <w:ind w:firstLine="360"/>
      </w:pPr>
      <w:r>
        <w:rPr/>
      </w:r>
      <w:r>
        <w:rPr/>
      </w:r>
      <w:r>
        <w:t xml:space="preserve">In a municipality that does not have a registration appeals board, if a person is aggrieved by the decision of the registrar of voters to cancel that person's registration in the central voter registration system or to reject that person's registration application, the person may appeal in writing to the municipal officers.  The appeal must be filed within 30 days after receipt of notice of the registrar's decision.  The municipal officers shall immediately fix a time and place for a prompt hearing.  The voter must be given written notice of the hearing at least 20 days in advance and must have the opportunity to testify and to present witnesses and other evidence at the hearing.  The hearing is de novo. After hearing, the municipal officers may affirm, modify or reverse the decision of the registrar of voters.  The municipal officers shall issue the decision to the voter in writing and shall provide information on how the voter may appeal the decision.  The aggrieved person may appeal the decision of the municipal officers to the Superior Court in accordance with Rule 80B of the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371,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§19 (AMD). PL 1999, c. 426, §9 (AMD). PL 2005, c. 453, §34 (AMD). PL 2007, c. 455, §10 (AMD). PL 2009, c. 253, §15 (AMD). PL 2019, c. 371,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