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Protection against liability of individuals on basis of information transferred; false information</w:t>
      </w:r>
    </w:p>
    <w:p>
      <w:pPr>
        <w:jc w:val="both"/>
        <w:spacing w:before="100" w:after="0"/>
        <w:ind w:start="360"/>
        <w:ind w:firstLine="360"/>
      </w:pPr>
      <w:r>
        <w:rPr>
          <w:b/>
        </w:rPr>
        <w:t>1</w:t>
        <w:t xml:space="preserve">.  </w:t>
      </w:r>
      <w:r>
        <w:rPr>
          <w:b/>
        </w:rPr>
        <w:t xml:space="preserve">No individual liability for error by State.</w:t>
        <w:t xml:space="preserve"> </w:t>
      </w:r>
      <w:r>
        <w:t xml:space="preserve"> </w:t>
      </w:r>
      <w:r>
        <w:t xml:space="preserve">If an individual who is ineligible to vote becomes a registered voter pursuant to this subchapter, that individual's registration is deemed to be the fault of the State and not attributable to or the fault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Providing false information.</w:t>
        <w:t xml:space="preserve"> </w:t>
      </w:r>
      <w:r>
        <w:t xml:space="preserve"> </w:t>
      </w:r>
      <w:r>
        <w:t xml:space="preserve">Notwithstanding </w:t>
      </w:r>
      <w:r>
        <w:t>subsection 1</w:t>
      </w:r>
      <w:r>
        <w:t xml:space="preserve">, an individual who knowingly and willfully provides false information under this subchapter is subject to prosecution pursuant to </w:t>
      </w:r>
      <w:r>
        <w:t>Title 17‑A, section 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 Protection against liability of individuals on basis of information transferred; false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Protection against liability of individuals on basis of information transferred; false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§235. PROTECTION AGAINST LIABILITY OF INDIVIDUALS ON BASIS OF INFORMATION TRANSFERRED; FALSE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