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606-A</w:t>
        <w:t xml:space="preserve">.  </w:t>
      </w:r>
      <w:r>
        <w:rPr>
          <w:b/>
        </w:rPr>
        <w:t xml:space="preserve">Special provisions for out-of-district voters</w:t>
      </w:r>
    </w:p>
    <w:p>
      <w:pPr>
        <w:jc w:val="both"/>
        <w:spacing w:before="100" w:after="100"/>
        <w:ind w:start="360"/>
        <w:ind w:firstLine="360"/>
      </w:pPr>
      <w:r>
        <w:rPr/>
      </w:r>
      <w:r>
        <w:rPr/>
      </w:r>
      <w:r>
        <w:t xml:space="preserve">A voter who registers and votes under </w:t>
      </w:r>
      <w:r>
        <w:t>section 156</w:t>
      </w:r>
      <w:r>
        <w:t xml:space="preserve"> in a municipality outside the voter's state representative district, state senatorial district, county or county commissioner district may vote for the offices of Representative to the Legislature, State Senator or any county office by using a ballot obtained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534, §14 (AMD).]</w:t>
      </w:r>
    </w:p>
    <w:p>
      <w:pPr>
        <w:jc w:val="both"/>
        <w:spacing w:before="100" w:after="0"/>
        <w:ind w:start="360"/>
        <w:ind w:firstLine="360"/>
      </w:pPr>
      <w:r>
        <w:rPr>
          <w:b/>
        </w:rPr>
        <w:t>1</w:t>
        <w:t xml:space="preserve">.  </w:t>
      </w:r>
      <w:r>
        <w:rPr>
          <w:b/>
        </w:rPr>
        <w:t xml:space="preserve">Clerk to notify.</w:t>
        <w:t xml:space="preserve"> </w:t>
      </w:r>
      <w:r>
        <w:t xml:space="preserve"> </w:t>
      </w:r>
      <w:r>
        <w:t xml:space="preserve">The clerk of a municipality in which voters have registered or enrolled under </w:t>
      </w:r>
      <w:r>
        <w:t>section 156</w:t>
      </w:r>
      <w:r>
        <w:t xml:space="preserve"> since the last statewide election shall notify the Secretary of State of those registrations and enrollments at least 60 days before the next statewide election.  For registrations and enrollments that occur less than 60 days before a statewide election, the clerk shall notify the Secretary of State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§14 (AMD).]</w:t>
      </w:r>
    </w:p>
    <w:p>
      <w:pPr>
        <w:jc w:val="both"/>
        <w:spacing w:before="100" w:after="0"/>
        <w:ind w:start="360"/>
        <w:ind w:firstLine="360"/>
      </w:pPr>
      <w:r>
        <w:rPr>
          <w:b/>
        </w:rPr>
        <w:t>2</w:t>
        <w:t xml:space="preserve">.  </w:t>
      </w:r>
      <w:r>
        <w:rPr>
          <w:b/>
        </w:rPr>
        <w:t xml:space="preserve">Secretary of State to furnish ballots.</w:t>
        <w:t xml:space="preserve"> </w:t>
      </w:r>
      <w:r>
        <w:t xml:space="preserve"> </w:t>
      </w:r>
      <w:r>
        <w:t xml:space="preserve">The Secretary of State shall review the number of votes cast at the last election of that type by persons registered and enrolled under </w:t>
      </w:r>
      <w:r>
        <w:t>section 156</w:t>
      </w:r>
      <w:r>
        <w:t xml:space="preserve"> when determining the number of ballots to be furnished to each municipality. These ballots must contain the names of the nominees or candidates for offices in the electoral divisions in which the voters registered under </w:t>
      </w:r>
      <w:r>
        <w:t>section 156</w:t>
      </w:r>
      <w:r>
        <w:t xml:space="preserve"> reside.  After receiving notification from the clerk of township voter registrations or enrollments that occur less than 60 days before a statewide election, the Secretary of State shall furnish additional ballots to the municipality as needed.  If there is not sufficient time to provide the municipality with the correct ballot style for a township voter, the Secretary of State shall instruct the clerk to provide a ballot to the voter in the manner prescribed by </w:t>
      </w:r>
      <w:r>
        <w:t>section 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§14 (AMD).]</w:t>
      </w:r>
    </w:p>
    <w:p>
      <w:pPr>
        <w:jc w:val="both"/>
        <w:spacing w:before="100" w:after="0"/>
        <w:ind w:start="360"/>
        <w:ind w:firstLine="360"/>
      </w:pPr>
      <w:r>
        <w:rPr>
          <w:b/>
        </w:rPr>
        <w:t>3</w:t>
        <w:t xml:space="preserve">.  </w:t>
      </w:r>
      <w:r>
        <w:rPr>
          <w:b/>
        </w:rPr>
        <w:t xml:space="preserve">Voter to use proper ballot.</w:t>
        <w:t xml:space="preserve"> </w:t>
      </w:r>
      <w:r>
        <w:t xml:space="preserve"> </w:t>
      </w:r>
      <w:r>
        <w:t xml:space="preserve">The election clerk in charge of the ballots at each voting place shall ensure that each voter registered in that municipality under </w:t>
      </w:r>
      <w:r>
        <w:t>section 156</w:t>
      </w:r>
      <w:r>
        <w:t xml:space="preserve"> who resides in a different electoral division obtains and uses the proper ballot provided under this section or a ballot provided in the manner prescribed by </w:t>
      </w:r>
      <w:r>
        <w:t>section 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§14 (AMD).]</w:t>
      </w:r>
    </w:p>
    <w:p>
      <w:pPr>
        <w:jc w:val="both"/>
        <w:spacing w:before="100" w:after="0"/>
        <w:ind w:start="360"/>
        <w:ind w:firstLine="360"/>
      </w:pPr>
      <w:r>
        <w:rPr>
          <w:b/>
        </w:rPr>
        <w:t>4</w:t>
        <w:t xml:space="preserve">.  </w:t>
      </w:r>
      <w:r>
        <w:rPr>
          <w:b/>
        </w:rPr>
        <w:t xml:space="preserve">How furnished.</w:t>
        <w:t xml:space="preserve"> </w:t>
      </w:r>
      <w:r>
        <w:t xml:space="preserve"> </w:t>
      </w:r>
      <w:r>
        <w:t xml:space="preserve">Ballots provided under this section must be furnished to voting places in accordance with </w:t>
      </w:r>
      <w:r>
        <w:t>section 606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§14 (AMD).]</w:t>
      </w:r>
    </w:p>
    <w:p>
      <w:pPr>
        <w:jc w:val="both"/>
        <w:spacing w:before="100" w:after="0"/>
        <w:ind w:start="360"/>
        <w:ind w:firstLine="360"/>
      </w:pPr>
      <w:r>
        <w:rPr>
          <w:b/>
        </w:rPr>
        <w:t>5</w:t>
        <w:t xml:space="preserve">.  </w:t>
      </w:r>
      <w:r>
        <w:rPr>
          <w:b/>
        </w:rPr>
        <w:t xml:space="preserve">County referendum.</w:t>
        <w:t xml:space="preserve"> </w:t>
      </w:r>
      <w:r>
        <w:t xml:space="preserve"> </w:t>
      </w:r>
      <w:r>
        <w:t xml:space="preserve">If a township resident registers under </w:t>
      </w:r>
      <w:r>
        <w:t>section 156</w:t>
      </w:r>
      <w:r>
        <w:t xml:space="preserve"> in a municipality outside the resident's county in the case of a county referendum, the commissioners of the resident's county shall perform the duties of the Secretary of State under this section and </w:t>
      </w:r>
      <w:r>
        <w:t>section 752, subsection 1, paragraph B</w:t>
      </w:r>
      <w:r>
        <w:t xml:space="preserve">. The clerk of a municipality in which these voters have registered or enrolled under </w:t>
      </w:r>
      <w:r>
        <w:t>section 156</w:t>
      </w:r>
      <w:r>
        <w:t xml:space="preserve"> shall notify the county commissioners of those registrations and enrollments before any election for the determination of a county referendum question in the same manner as the notification to the Secretary of State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363, §2 (NEW). PL 1995, c. 459, §45 (AMD). PL 2011, c. 534,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§606-A. Special provisions for out-of-district voters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§606-A. Special provisions for out-of-district voters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§606-A. SPECIAL PROVISIONS FOR OUT-OF-DISTRICT VOTERS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