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Ballot security materials</w:t>
      </w:r>
    </w:p>
    <w:p>
      <w:pPr>
        <w:jc w:val="both"/>
        <w:spacing w:before="100" w:after="100"/>
        <w:ind w:start="360"/>
        <w:ind w:firstLine="360"/>
      </w:pPr>
      <w:r>
        <w:rPr/>
      </w:r>
      <w:r>
        <w:rPr/>
      </w:r>
      <w:r>
        <w:t xml:space="preserve">The Secretary of State shall furnish each municipality with tamper-proof ballot security containers that are equipped with a suitable method of securing the ballots against tampering, which must be used for securing used ballots and other election materials for statewide elections conducted under this Title.  If a state-supplied container or security mechanism becomes defective, lost or destroyed, the clerk must apply in writing to the Secretary of State for a replacement.  The Secretary of State shall supply or approve a replacement at the expense of the municipality.  If a municipality wishes to use a tamper‑proof ballot security container to seal municipal election ballots and materials, that municipality must obtain the container and security mechanism at its own expense.</w:t>
      </w:r>
      <w:r>
        <w:t xml:space="preserve">  </w:t>
      </w:r>
      <w:r xmlns:wp="http://schemas.openxmlformats.org/drawingml/2010/wordprocessingDrawing" xmlns:w15="http://schemas.microsoft.com/office/word/2012/wordml">
        <w:rPr>
          <w:rFonts w:ascii="Arial" w:hAnsi="Arial" w:cs="Arial"/>
          <w:sz w:val="22"/>
          <w:szCs w:val="22"/>
        </w:rPr>
        <w:t xml:space="preserve">[PL 2019, c. 371,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§17 (NEW). PL 2019, c. 371,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§609. Ballot security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Ballot security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§609. BALLOT SECURITY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