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626-A</w:t>
        <w:t xml:space="preserve">.  </w:t>
      </w:r>
      <w:r>
        <w:rPr>
          <w:b/>
        </w:rPr>
        <w:t xml:space="preserve">Voting place report</w:t>
      </w:r>
    </w:p>
    <w:p>
      <w:pPr>
        <w:jc w:val="both"/>
        <w:spacing w:before="100" w:after="100"/>
        <w:ind w:start="360"/>
        <w:ind w:firstLine="360"/>
      </w:pPr>
      <w:r>
        <w:rPr/>
      </w:r>
      <w:r>
        <w:rPr/>
      </w:r>
      <w:r>
        <w:t xml:space="preserve">The municipal clerk shall file a voting place report at least 60 days before each election conducted under this Title, on a form designed by the Secretary of State, with information about each voting place, including, but not limited to, the location of each voting place, the location of each secured drop box, the times for in-person absentee voting at the clerk’s office under </w:t>
      </w:r>
      <w:r>
        <w:t>section 753‑B, subsection 8</w:t>
      </w:r>
      <w:r>
        <w:t xml:space="preserve">, the poll opening time and the number of voting booths that will be used.</w:t>
      </w:r>
      <w:r>
        <w:t xml:space="preserve">  </w:t>
      </w:r>
      <w:r xmlns:wp="http://schemas.openxmlformats.org/drawingml/2010/wordprocessingDrawing" xmlns:w15="http://schemas.microsoft.com/office/word/2012/wordml">
        <w:rPr>
          <w:rFonts w:ascii="Arial" w:hAnsi="Arial" w:cs="Arial"/>
          <w:sz w:val="22"/>
          <w:szCs w:val="22"/>
        </w:rPr>
        <w:t xml:space="preserve">[PL 2021, c. 246,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§17 (NEW). PL 2021, c. 246,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§626-A. Voting place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§626-A. Voting place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§626-A. VOTING PLACE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