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Reports of threats or harassment</w:t>
      </w:r>
    </w:p>
    <w:p>
      <w:pPr>
        <w:jc w:val="both"/>
        <w:spacing w:before="100" w:after="0"/>
        <w:ind w:start="360"/>
        <w:ind w:firstLine="360"/>
      </w:pPr>
      <w:r>
        <w:rPr>
          <w:b/>
        </w:rPr>
        <w:t>1</w:t>
        <w:t xml:space="preserve">.  </w:t>
      </w:r>
      <w:r>
        <w:rPr>
          <w:b/>
        </w:rPr>
        <w:t xml:space="preserve">Reporting of threats or harassment.</w:t>
        <w:t xml:space="preserve"> </w:t>
      </w:r>
      <w:r>
        <w:t xml:space="preserve"> </w:t>
      </w:r>
      <w:r>
        <w:t xml:space="preserve">The Secretary of State shall accept and maintain a record of reports of threats to or harassment of public officials related to the conduct of federal, state or municipal elections in the State. The Secretary of State shall adopt routine technical rules, as defined in </w:t>
      </w:r>
      <w:r>
        <w:t>Title 5, chapter 375, subchapter 2‑A</w:t>
      </w:r>
      <w:r>
        <w:t xml:space="preserve">, regarding the process for submitting reports pursuant to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2023, and annually thereafter, the Secretary of State shall report the number and type of reports of threats to or harassment of public officials received by the Secretary of State during the previous calendar year to the joint standing committee of the Legislature having jurisdiction over election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§675. Reports of threats or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Reports of threats or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§675. REPORTS OF THREATS OR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