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691</w:t>
        <w:t xml:space="preserve">.  </w:t>
      </w:r>
      <w:r>
        <w:rPr>
          <w:b/>
        </w:rPr>
        <w:t xml:space="preserve">Marking ballots; primary election</w:t>
      </w:r>
    </w:p>
    <w:p>
      <w:pPr>
        <w:jc w:val="both"/>
        <w:spacing w:before="100" w:after="100"/>
        <w:ind w:start="360"/>
        <w:ind w:firstLine="360"/>
      </w:pPr>
      <w:r>
        <w:rPr/>
      </w:r>
      <w:r>
        <w:rPr/>
      </w:r>
      <w:r>
        <w:t xml:space="preserve">A voter shall mark the ballot at a primary election as instructed in the directions on the ballot.</w:t>
      </w:r>
      <w:r>
        <w:t xml:space="preserve">  </w:t>
      </w:r>
      <w:r xmlns:wp="http://schemas.openxmlformats.org/drawingml/2010/wordprocessingDrawing" xmlns:w15="http://schemas.microsoft.com/office/word/2012/wordml">
        <w:rPr>
          <w:rFonts w:ascii="Arial" w:hAnsi="Arial" w:cs="Arial"/>
          <w:sz w:val="22"/>
          <w:szCs w:val="22"/>
        </w:rPr>
        <w:t xml:space="preserve">[PL 1993, c. 473, §21 (AMD); PL 1993, c. 473, §46 (AFF).]</w:t>
      </w:r>
    </w:p>
    <w:p>
      <w:pPr>
        <w:jc w:val="both"/>
        <w:spacing w:before="100" w:after="0"/>
        <w:ind w:start="360"/>
        <w:ind w:firstLine="360"/>
      </w:pPr>
      <w:r>
        <w:rPr>
          <w:b/>
        </w:rPr>
        <w:t>1</w:t>
        <w:t xml:space="preserve">.  </w:t>
      </w:r>
      <w:r>
        <w:rPr>
          <w:b/>
        </w:rPr>
        <w:t xml:space="preserve">Individual candidate method.</w:t>
        <w:t xml:space="preserve"> </w:t>
      </w:r>
      <w:r>
        <w:t xml:space="preserve"> </w:t>
      </w:r>
      <w:r>
        <w:t xml:space="preserve">The voter must mark the ballot as instructed in the directions on the ballot to indicate the name of each candidate for nomination for whom the voter wishes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§21 (AMD); PL 1993, c. 473, §46 (AFF).]</w:t>
      </w:r>
    </w:p>
    <w:p>
      <w:pPr>
        <w:jc w:val="both"/>
        <w:spacing w:before="100" w:after="0"/>
        <w:ind w:start="360"/>
        <w:ind w:firstLine="360"/>
      </w:pPr>
      <w:r>
        <w:rPr>
          <w:b/>
        </w:rPr>
        <w:t>2</w:t>
        <w:t xml:space="preserve">.  </w:t>
      </w:r>
      <w:r>
        <w:rPr>
          <w:b/>
        </w:rPr>
        <w:t xml:space="preserve">Write-in vote.</w:t>
        <w:t xml:space="preserve"> </w:t>
      </w:r>
      <w:r>
        <w:t xml:space="preserve"> </w:t>
      </w:r>
      <w:r>
        <w:t xml:space="preserve">If the voter wishes to vote for a write-in candidate, the voter must write the name of the candidate in the blank space provided next to the write-in indicator.  The voter must then mark the write-in indicator as instructed on the ballot to indicate a vote for the write-in candidate.  A sticker may not be used to vote for a write-in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§21 (AMD). PL 1993, c. 473, §46 (AFF). PL 2007, c. 455, §36 (AMD). PL 2009, c. 253, §29 (AMD). PL 2023, c. 304, Pt. A,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§691. Marking ballots; primary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§691. Marking ballots; primary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§691. MARKING BALLOTS; PRIMARY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