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§696. Challenged, defective or void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Challenged, defective or void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§696. CHALLENGED, DEFECTIVE OR VOID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