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 Posting unofficial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Posting unofficial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§700. POSTING UNOFFICIAL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