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Absentee ballot tracking</w:t>
      </w:r>
    </w:p>
    <w:p>
      <w:pPr>
        <w:jc w:val="both"/>
        <w:spacing w:before="100" w:after="100"/>
        <w:ind w:start="360"/>
        <w:ind w:firstLine="360"/>
      </w:pPr>
      <w:r>
        <w:rPr/>
      </w:r>
      <w:r>
        <w:rPr/>
      </w:r>
      <w:r>
        <w:t xml:space="preserve">The Secretary of State shall establish and maintain an online service that allows a voter who requests an absentee ballot to track the status of the absentee ballot process.</w:t>
      </w:r>
      <w:r>
        <w:t xml:space="preserve">  </w:t>
      </w:r>
      <w:r xmlns:wp="http://schemas.openxmlformats.org/drawingml/2010/wordprocessingDrawing" xmlns:w15="http://schemas.microsoft.com/office/word/2012/wordml">
        <w:rPr>
          <w:rFonts w:ascii="Arial" w:hAnsi="Arial" w:cs="Arial"/>
          <w:sz w:val="22"/>
          <w:szCs w:val="22"/>
        </w:rPr>
        <w:t xml:space="preserve">[PL 2021, c. 273,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§765. Absentee ballot tracking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Absentee ballot tracking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§765. ABSENTEE BALLOT TRACKING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