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Obtaining and using</w:t>
      </w:r>
    </w:p>
    <w:p>
      <w:pPr>
        <w:jc w:val="both"/>
        <w:spacing w:before="100" w:after="100"/>
        <w:ind w:start="360"/>
        <w:ind w:firstLine="360"/>
      </w:pPr>
      <w:r>
        <w:rPr/>
      </w:r>
      <w:r>
        <w:rPr/>
      </w:r>
      <w:r>
        <w:t xml:space="preserve">A municipality may obtain and use voting machines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Purchased or rented.</w:t>
        <w:t xml:space="preserve"> </w:t>
      </w:r>
      <w:r>
        <w:t xml:space="preserve"> </w:t>
      </w:r>
      <w:r>
        <w:t xml:space="preserve">The municipality may either purchase or rent voting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Use authorized.</w:t>
        <w:t xml:space="preserve"> </w:t>
      </w:r>
      <w:r>
        <w:t xml:space="preserve"> </w:t>
      </w:r>
      <w:r>
        <w:t xml:space="preserve">The voting machines shall be used at each type of election authorized by the legislative body of the municipality. Once authorization has been given for use of the machines at any type of election, that authorization continues until specifically revoked by the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Use in one or more districts.</w:t>
        <w:t xml:space="preserve"> </w:t>
      </w:r>
      <w:r>
        <w:t xml:space="preserve"> </w:t>
      </w:r>
      <w:r>
        <w:t xml:space="preserve">A municipality which has more than one voting district may use voting machines in one or more of the districts as determined by its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Provided by municipality.</w:t>
        <w:t xml:space="preserve"> </w:t>
      </w:r>
      <w:r>
        <w:t xml:space="preserve"> </w:t>
      </w:r>
      <w:r>
        <w:t xml:space="preserve">In those municipal voting districts using voting machines, the municipal officers of each municipality must provide at least one voting machine for each 450, or fraction exceeding 1/2 of that number, of the voters qualified to vote at each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§811. Obtaining and 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Obtaining and using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§811. OBTAINING AND 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