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Challenge of right to vote</w:t>
      </w:r>
    </w:p>
    <w:p>
      <w:pPr>
        <w:jc w:val="both"/>
        <w:spacing w:before="100" w:after="100"/>
        <w:ind w:start="360"/>
        <w:ind w:firstLine="360"/>
      </w:pPr>
      <w:r>
        <w:rPr/>
      </w:r>
      <w:r>
        <w:rPr/>
      </w:r>
      <w:r>
        <w:t xml:space="preserve">A voter who is challenged in a voting precinct where voting machines are used may not use the voting machine for casting that voter's vote, but must use an official paper ballot.</w:t>
      </w:r>
      <w:r>
        <w:t xml:space="preserve">  </w:t>
      </w:r>
      <w:r xmlns:wp="http://schemas.openxmlformats.org/drawingml/2010/wordprocessingDrawing" xmlns:w15="http://schemas.microsoft.com/office/word/2012/wordml">
        <w:rPr>
          <w:rFonts w:ascii="Arial" w:hAnsi="Arial" w:cs="Arial"/>
          <w:sz w:val="22"/>
          <w:szCs w:val="22"/>
        </w:rPr>
        <w:t xml:space="preserve">[RR 2019,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§824. Challenge of right to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Challenge of right to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§824. CHALLENGE OF RIGHT TO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