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Official returns</w:t>
      </w:r>
    </w:p>
    <w:p>
      <w:pPr>
        <w:jc w:val="both"/>
        <w:spacing w:before="100" w:after="100"/>
        <w:ind w:start="360"/>
        <w:ind w:firstLine="360"/>
      </w:pPr>
      <w:r>
        <w:rPr/>
      </w:r>
      <w:r>
        <w:rPr/>
      </w:r>
      <w:r>
        <w:t xml:space="preserve">Copies of the election results must be open to the public as soon as the count is completed.  The warden shall prepare the official return pursuant to </w:t>
      </w:r>
      <w:r>
        <w:t>section 711</w:t>
      </w:r>
      <w:r>
        <w:t xml:space="preserve">.  The official return of each voting district is derived from the totals from the official tally tape, the totals from the hand-tallies of all red-lined or unread ballots and the tally sheets used to record all valid write-in votes.  Once the clerk has made the attested copies of the precinct returns, if applicable, and the total municipality return and filed these attested copies with the Secretary of State, the return becomes the official return for that municipality.</w:t>
      </w:r>
      <w:r>
        <w:t xml:space="preserve">  </w:t>
      </w:r>
      <w:r xmlns:wp="http://schemas.openxmlformats.org/drawingml/2010/wordprocessingDrawing" xmlns:w15="http://schemas.microsoft.com/office/word/2012/wordml">
        <w:rPr>
          <w:rFonts w:ascii="Arial" w:hAnsi="Arial" w:cs="Arial"/>
          <w:sz w:val="22"/>
          <w:szCs w:val="22"/>
        </w:rPr>
        <w:t xml:space="preserve">[PL 2001, c. 310, §67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§109 (AMD). PL 2001, c. 310, §67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§856. Official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Official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§856. OFFICIAL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