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Manual counting authorized</w:t>
      </w:r>
    </w:p>
    <w:p>
      <w:pPr>
        <w:jc w:val="both"/>
        <w:spacing w:before="100" w:after="100"/>
        <w:ind w:start="360"/>
        <w:ind w:firstLine="360"/>
      </w:pPr>
      <w:r>
        <w:rPr/>
      </w:r>
      <w:r>
        <w:rPr/>
      </w:r>
      <w:r>
        <w:t xml:space="preserve">If for any reason it becomes impracticable to count all or a part of the ballots with electronic tabulating equipment, the clerk shall have them counted manually following the provisions governing the counting of paper ballots.</w:t>
      </w:r>
      <w:r>
        <w:t xml:space="preserve">  </w:t>
      </w:r>
      <w:r xmlns:wp="http://schemas.openxmlformats.org/drawingml/2010/wordprocessingDrawing" xmlns:w15="http://schemas.microsoft.com/office/word/2012/wordml">
        <w:rPr>
          <w:rFonts w:ascii="Arial" w:hAnsi="Arial" w:cs="Arial"/>
          <w:sz w:val="22"/>
          <w:szCs w:val="22"/>
        </w:rPr>
        <w:t xml:space="preserve">[PL 1995, c. 459,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Manual counting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§857. MANUAL COUNTING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