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Fees for service</w:t>
      </w:r>
    </w:p>
    <w:p>
      <w:pPr>
        <w:jc w:val="both"/>
        <w:spacing w:before="100" w:after="0"/>
        <w:ind w:start="360"/>
        <w:ind w:firstLine="360"/>
      </w:pPr>
      <w:r>
        <w:rPr>
          <w:b/>
        </w:rPr>
        <w:t>1</w:t>
        <w:t xml:space="preserve">.  </w:t>
      </w:r>
      <w:r>
        <w:rPr>
          <w:b/>
        </w:rPr>
        <w:t xml:space="preserve">Reasonable fees authorized.</w:t>
        <w:t xml:space="preserve"> </w:t>
      </w:r>
      <w:r>
        <w:t xml:space="preserve"> </w:t>
      </w:r>
      <w:r>
        <w:t xml:space="preserve">The department may charge reasonable fees for any services provided under this Title, </w:t>
      </w:r>
      <w:r>
        <w:t>Title 5</w:t>
      </w:r>
      <w:r>
        <w:t xml:space="preserve">, </w:t>
      </w:r>
      <w:r>
        <w:t>Title 22</w:t>
      </w:r>
      <w:r>
        <w:t xml:space="preserve"> or </w:t>
      </w:r>
      <w:r>
        <w:t>Title 34‑B</w:t>
      </w:r>
      <w:r>
        <w:t xml:space="preserve">, whether directly or indirectly provided by the department. Any fees thus received constitute a permanent fund for use by the department as special revenue income and do not become part of the General Fund. Fees so generated must be used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w:pPr>
        <w:jc w:val="both"/>
        <w:spacing w:before="100" w:after="100"/>
        <w:ind w:start="360"/>
        <w:ind w:firstLine="360"/>
      </w:pPr>
      <w:r>
        <w:rPr>
          <w:b/>
        </w:rPr>
        <w:t>2</w:t>
        <w:t xml:space="preserve">.  </w:t>
      </w:r>
      <w:r>
        <w:rPr>
          <w:b/>
        </w:rPr>
        <w:t xml:space="preserve">Sliding fee scale.</w:t>
        <w:t xml:space="preserve"> </w:t>
      </w:r>
      <w:r>
        <w:t xml:space="preserve"> </w:t>
      </w:r>
      <w:r>
        <w:t xml:space="preserve">The department may establish a sliding fee scale for the provision of community-based purchased services administered by the department.</w:t>
      </w:r>
    </w:p>
    <w:p>
      <w:pPr>
        <w:jc w:val="both"/>
        <w:spacing w:before="100" w:after="0"/>
        <w:ind w:start="720"/>
      </w:pPr>
      <w:r>
        <w:rPr/>
        <w:t>A</w:t>
        <w:t xml:space="preserve">.  </w:t>
      </w:r>
      <w:r>
        <w:rPr/>
      </w:r>
      <w:r>
        <w:t xml:space="preserve">The sliding fee scale must be based on gross family income and family size.</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w:pPr>
        <w:jc w:val="both"/>
        <w:spacing w:before="100" w:after="0"/>
        <w:ind w:start="720"/>
      </w:pPr>
      <w:r>
        <w:rPr/>
        <w:t>B</w:t>
        <w:t xml:space="preserve">.  </w:t>
      </w:r>
      <w:r>
        <w:rPr/>
      </w:r>
      <w:r>
        <w:t xml:space="preserve">Any fees charged as a result of implementing this subsection must be paid to the provider of the service and be used by the provider for additional services of the same or related type for which the fees were paid.</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 Fees for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Fees for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§210. FEES FOR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