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102</w:t>
      </w:r>
    </w:p>
    <w:p>
      <w:pPr>
        <w:jc w:val="center"/>
        <w:ind w:start="360"/>
        <w:spacing w:before="300" w:after="300"/>
      </w:pPr>
      <w:r>
        <w:rPr>
          <w:b/>
        </w:rPr>
        <w:t xml:space="preserve">TOBACCO TAX AND HEALTH PROTECTION</w:t>
      </w:r>
    </w:p>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102. TOBACCO TAX AND HEALTH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102. TOBACCO TAX AND HEALTH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