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1479</w:t>
      </w:r>
    </w:p>
    <w:p>
      <w:pPr>
        <w:jc w:val="center"/>
        <w:ind w:start="360"/>
        <w:spacing w:before="300" w:after="300"/>
      </w:pPr>
      <w:r>
        <w:rPr>
          <w:b/>
        </w:rPr>
        <w:t xml:space="preserve">MADE FOR MAINE HEALTH COVERAGE ACT</w:t>
      </w:r>
    </w:p>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w:t>
      </w:r>
    </w:p>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5408</w:t>
        <w:t xml:space="preserve">.  </w:t>
      </w:r>
      <w:r>
        <w:rPr>
          <w:b/>
        </w:rPr>
        <w:t xml:space="preserve">Technical assistance from other state agencies</w:t>
      </w:r>
    </w:p>
    <w:p>
      <w:pPr>
        <w:jc w:val="both"/>
        <w:spacing w:before="100" w:after="100"/>
        <w:ind w:start="360"/>
        <w:ind w:firstLine="360"/>
      </w:pPr>
      <w:r>
        <w:rPr/>
      </w:r>
      <w:r>
        <w:rPr/>
      </w:r>
      <w:r>
        <w:t xml:space="preserve">State agencies, including but not limited to the Department of Professional and Financial Regulation, Bureau of Insurance, the Department of Administrative and Financial Services, Bureau of Revenue Services and the Maine Health Data Organization, shall provide technical assistance and expertise to the marketplace upon request.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and not open to public inspection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Title 22, section 1711‑C</w:t>
      </w:r>
      <w:r>
        <w:t xml:space="preserve"> is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1479. MADE FOR MAINE HEALTH COVERAGE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