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265-C</w:t>
      </w:r>
    </w:p>
    <w:p>
      <w:pPr>
        <w:jc w:val="center"/>
        <w:ind w:start="360"/>
        <w:spacing w:before="300" w:after="300"/>
      </w:pPr>
      <w:r>
        <w:rPr>
          <w:b/>
        </w:rPr>
        <w:t xml:space="preserve">SALE OF UNPACKAGED CIGARETTES</w:t>
      </w:r>
    </w:p>
    <w:p>
      <w:pPr>
        <w:jc w:val="both"/>
        <w:spacing w:before="100" w:after="100"/>
        <w:ind w:start="1080" w:hanging="720"/>
      </w:pPr>
      <w:r>
        <w:rPr>
          <w:b/>
        </w:rPr>
        <w:t>§</w:t>
        <w:t>1629</w:t>
        <w:t xml:space="preserve">.  </w:t>
      </w:r>
      <w:r>
        <w:rPr>
          <w:b/>
        </w:rPr>
        <w:t xml:space="preserve">Sale of unpackaged cigarettes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445, §10 (NEW). PL 1995, c. 470, §14 (RP). PL 1995, c. 470, §19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265-C. SALE OF UNPACKAGED CIGARETTES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265-C. SALE OF UNPACKAGED CIGARETTES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265-C. SALE OF UNPACKAGED CIGARETTES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