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Registry of leased lead-safe residential dwellings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"Lead-based paint" has the same meaning as in </w:t>
      </w:r>
      <w:r>
        <w:t>Title 38, section 1291,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§2 (NEW).]</w:t>
      </w:r>
    </w:p>
    <w:p>
      <w:pPr>
        <w:jc w:val="both"/>
        <w:spacing w:before="100" w:after="0"/>
        <w:ind w:start="720"/>
      </w:pPr>
      <w:r>
        <w:rPr/>
        <w:t>B</w:t>
        <w:t xml:space="preserve">.  </w:t>
      </w:r>
      <w:r>
        <w:rPr/>
      </w:r>
      <w:r>
        <w:t xml:space="preserve">"Residential dwelling" has the same meaning as in </w:t>
      </w:r>
      <w:r>
        <w:t>Title 38, section 1291, subsection 26‑A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2</w:t>
        <w:t xml:space="preserve">.  </w:t>
      </w:r>
      <w:r>
        <w:rPr>
          <w:b/>
        </w:rPr>
        <w:t xml:space="preserve">Registry.</w:t>
        <w:t xml:space="preserve"> </w:t>
      </w:r>
      <w:r>
        <w:t xml:space="preserve"> </w:t>
      </w:r>
      <w:r>
        <w:t xml:space="preserve">The department shall maintain a registry of leased residential dwellings built before 1978 that are lead-safe as designated by the residential dwelling owners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3</w:t>
        <w:t xml:space="preserve">.  </w:t>
      </w:r>
      <w:r>
        <w:rPr>
          <w:b/>
        </w:rPr>
        <w:t xml:space="preserve">Designation as lead-safe.</w:t>
        <w:t xml:space="preserve"> </w:t>
      </w:r>
      <w:r>
        <w:t xml:space="preserve"> </w:t>
      </w:r>
      <w:r>
        <w:t xml:space="preserve">A leased residential dwelling may be designated as lead-safe for the purposes of this section if the residential dwelling owner has submitted to the department an application for the leased residential dwelling to be placed on the registry created pursuant to </w:t>
      </w:r>
      <w:r>
        <w:t>subsection 2</w:t>
      </w:r>
      <w:r>
        <w:t xml:space="preserve">. Submission of an application to the registry is voluntary on the part of the residential dwelling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application under </w:t>
      </w:r>
      <w:r>
        <w:t>subsection 3</w:t>
      </w:r>
      <w:r>
        <w:t xml:space="preserve"> must be submitted together with a report by a lead inspector that indicates that the leased residential dwelling has been tested for the presence of lead-based paint and lead-contaminated dust or a report by a lead dust sampling technician that indicates the leased residential dwelling has been tested for lead-contaminated dust. The report must indicate that the leased residential dwelling meets the requirements for inclusion on the registry in accordance with the standards and procedures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§1331. Registry of leased lead-safe residential dwellings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Registry of leased lead-safe residential dwellings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§1331. REGISTRY OF LEASED LEAD-SAFE RESIDENTIAL DWELLINGS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