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Municipal regulation</w:t>
      </w:r>
    </w:p>
    <w:p>
      <w:pPr>
        <w:jc w:val="both"/>
        <w:spacing w:before="100" w:after="100"/>
        <w:ind w:start="360"/>
        <w:ind w:firstLine="360"/>
      </w:pPr>
      <w:r>
        <w:rPr/>
      </w:r>
      <w:r>
        <w:rPr/>
      </w:r>
      <w:r>
        <w:t xml:space="preserve">Except as otherwise provided in this section, nothing in this chapter affects the authority of municipalities to enact ordinances or regulations that are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1997, c. 63, §1 (AMD).]</w:t>
      </w:r>
    </w:p>
    <w:p>
      <w:pPr>
        <w:jc w:val="both"/>
        <w:spacing w:before="100" w:after="100"/>
        <w:ind w:start="360"/>
        <w:ind w:firstLine="360"/>
      </w:pPr>
      <w:r>
        <w:rPr/>
      </w:r>
      <w:r>
        <w:rPr/>
      </w:r>
      <w:r>
        <w:t xml:space="preserve">When a municipality intends to consider an ordinance or regulation or intends to amend an ordinance or regulation so that the ordinance or regulation would be more restrictive than this chapter, the municipality shall give notice of that intention by mail, at least 30 days prior to consideration of the ordinance, regulation or amendment, to the last known address of each retail tobacco licensee doing business within the municipal corporate limits.  This notice must state the time, place and date of a hearing or proposed enactment and the subject matter of the proposed ordinance, regulation or amendment.</w:t>
      </w:r>
      <w:r>
        <w:t xml:space="preserve">  </w:t>
      </w:r>
      <w:r xmlns:wp="http://schemas.openxmlformats.org/drawingml/2010/wordprocessingDrawing" xmlns:w15="http://schemas.microsoft.com/office/word/2012/wordml">
        <w:rPr>
          <w:rFonts w:ascii="Arial" w:hAnsi="Arial" w:cs="Arial"/>
          <w:sz w:val="22"/>
          <w:szCs w:val="22"/>
        </w:rPr>
        <w:t xml:space="preserve">[PL 1997,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§1556.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§1556.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