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1689-A</w:t>
        <w:t xml:space="preserve">.  </w:t>
      </w:r>
      <w:r>
        <w:rPr>
          <w:b/>
        </w:rPr>
        <w:t xml:space="preserve">Administrative authority</w:t>
      </w:r>
    </w:p>
    <w:p>
      <w:pPr>
        <w:jc w:val="both"/>
        <w:spacing w:before="100" w:after="100"/>
        <w:ind w:start="360"/>
        <w:ind w:firstLine="360"/>
      </w:pPr>
      <w:r>
        <w:rPr/>
      </w:r>
      <w:r>
        <w:rPr/>
      </w:r>
      <w:r>
        <w:t xml:space="preserve">The Maine Water Well Commission, as established in </w:t>
      </w:r>
      <w:r>
        <w:t>Title 5, section 12004‑G, subsection 13‑B</w:t>
      </w:r>
      <w:r>
        <w:t xml:space="preserve">, shall administer the program.  The commission has the powers and duties set forth in </w:t>
      </w:r>
      <w:r>
        <w:t>Title 32, chapter 69‑C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§1689-A.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§1689-A.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§1689-A.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