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Itemized bills</w:t>
      </w:r>
    </w:p>
    <w:p>
      <w:pPr>
        <w:jc w:val="both"/>
        <w:spacing w:before="100" w:after="100"/>
        <w:ind w:start="360"/>
        <w:ind w:firstLine="360"/>
      </w:pPr>
      <w:r>
        <w:rPr/>
      </w:r>
      <w:r>
        <w:rPr/>
      </w:r>
      <w:r>
        <w:t xml:space="preserve">Each hospital licensed by the State under </w:t>
      </w:r>
      <w:r>
        <w:t>chapter 405</w:t>
      </w:r>
      <w:r>
        <w:t xml:space="preserve"> shall inform all patients, or their legal guardians, in writing, at the time of the patient's discharge, that it will provide an itemized bill upon their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The request may be made by the patient or the patient's legal guardian at discharge or at any time within 7 years after discharge.</w:t>
      </w:r>
      <w:r>
        <w:t xml:space="preserve">  </w:t>
      </w:r>
      <w:r xmlns:wp="http://schemas.openxmlformats.org/drawingml/2010/wordprocessingDrawing" xmlns:w15="http://schemas.microsoft.com/office/word/2012/wordml">
        <w:rPr>
          <w:rFonts w:ascii="Arial" w:hAnsi="Arial" w:cs="Arial"/>
          <w:sz w:val="22"/>
          <w:szCs w:val="22"/>
        </w:rPr>
        <w:t xml:space="preserve">[RR 2021, c. 2, Pt. B, §107 (COR).]</w:t>
      </w:r>
    </w:p>
    <w:p>
      <w:pPr>
        <w:jc w:val="both"/>
        <w:spacing w:before="100" w:after="100"/>
        <w:ind w:start="360"/>
        <w:ind w:firstLine="360"/>
      </w:pPr>
      <w:r>
        <w:rPr/>
      </w:r>
      <w:r>
        <w:rPr/>
      </w:r>
      <w:r>
        <w:t xml:space="preserve">The hospital shall provide an itemized bill to the person making the request within 30 days of the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Notwithstanding this section, effective July 1, 1985, each hospital shall itemize on the hospital bill of each patient the cost of nursing services provided to that patient.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166 (NEW). RR 2021, c. 2, Pt. B,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§1712. Itemized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Itemized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§1712. ITEMIZED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