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360"/>
        <w:ind w:firstLine="360"/>
      </w:pPr>
      <w:r>
        <w:rPr/>
      </w:r>
      <w:r>
        <w:rPr/>
      </w:r>
      <w:r>
        <w:t xml:space="preserve">Beginning April 1, 2012, the department shall reimburse licensed critical access hospitals at 109% of MaineCare allowable costs for both inpatient and outpatient services provided to patients covered by the MaineCare program. Of the total allocated from hospital tax revenues under </w:t>
      </w:r>
      <w:r>
        <w:t>Title 36, chapter 375</w:t>
      </w:r>
      <w:r>
        <w:t xml:space="preserve">, $1,000,000 in state and federal funds must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2011, c. 657, Pt. H, §1 (NEW); PL 2011, c. 657, Pt. H, §5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§1714-D. Critical access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§1714-D. Critical access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§1714-D. CRITICAL ACCESS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