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1812-I</w:t>
        <w:t xml:space="preserve">.  </w:t>
      </w:r>
      <w:r>
        <w:rPr>
          <w:b/>
        </w:rPr>
        <w:t xml:space="preserve">Critical access hospital defined</w:t>
      </w:r>
    </w:p>
    <w:p>
      <w:pPr>
        <w:jc w:val="both"/>
        <w:spacing w:before="100" w:after="100"/>
        <w:ind w:start="360"/>
        <w:ind w:firstLine="360"/>
      </w:pPr>
      <w:r>
        <w:rPr/>
      </w:r>
      <w:r>
        <w:rPr/>
      </w:r>
      <w:r>
        <w:t xml:space="preserve">For purposes of this chapter, "critical access hospital" has the same meaning as set out in </w:t>
      </w:r>
      <w:r>
        <w:t>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§1812-I. Critical access hospital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§1812-I. Critical access hospital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§1812-I. CRITICAL ACCESS HOSPITAL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