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1815</w:t>
        <w:t xml:space="preserve">.  </w:t>
      </w:r>
      <w:r>
        <w:rPr>
          <w:b/>
        </w:rPr>
        <w:t xml:space="preserve">Fees</w:t>
      </w:r>
    </w:p>
    <w:p>
      <w:pPr>
        <w:jc w:val="both"/>
        <w:spacing w:before="100" w:after="100"/>
        <w:ind w:start="360"/>
        <w:ind w:firstLine="360"/>
      </w:pPr>
      <w:r>
        <w:rPr/>
      </w:r>
      <w:r>
        <w:rPr/>
      </w:r>
      <w:r>
        <w:t xml:space="preserve">Each application for a license to operate a hospital, convalescent home or nursing home must be accompanied by a nonrefundable fee.  Hospitals shall pay $40 for each bed contained within the facility.  Nursing and convalescent homes shall pay $26 for each bed contained within the facility.  Each application for a license to operate an ambulatory surgical facility must be accompanied by the fee established by the department.  The department shall establish the fee for an ambulatory surgical facility, not to exceed $500, on the basis of a sliding scale representing size, number of employees and scope of operations. All licenses must be renewed annually, or for a term of years, as required by law upon payment of a renewal fee. Hospitals shall pay a $40 renewal fee for each bed contained within the facility.  Nursing and convalescent homes shall pay a $26 renewal fee for each bed contained within the facility.  In the case of a license renewal that is valid for more than one year, the renewal fee must be multiplied by the number of years in the term of the license.  The State's share of all fees received by the department under this chapter must be deposited in the General Fund.  A license granted may not be assignable or transferable.  State hospitals are not required to pay licensing fees.</w:t>
      </w:r>
      <w:r>
        <w:t xml:space="preserve">  </w:t>
      </w:r>
      <w:r xmlns:wp="http://schemas.openxmlformats.org/drawingml/2010/wordprocessingDrawing" xmlns:w15="http://schemas.microsoft.com/office/word/2012/wordml">
        <w:rPr>
          <w:rFonts w:ascii="Arial" w:hAnsi="Arial" w:cs="Arial"/>
          <w:sz w:val="22"/>
          <w:szCs w:val="22"/>
        </w:rPr>
        <w:t xml:space="preserve">[PL 2011, c. 257,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231, §4 (AMD). PL 1975, c. 491, §2 (AMD). PL 1981, c. 703, §A12 (AMD). PL 1989, c. 136, §4 (AMD). PL 1989, c. 572, §4 (AMD). PL 1989, c. 878, §A60 (RPR). PL 1991, c. 752, §2 (AMD). PL 2003, c. 20, §K4 (AMD). PL 2003, c. 507, §C1 (AMD). PL 2003, c. 507, §C4 (AFF). PL 2011, c. 257,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§1815.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§1815.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§1815.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