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Safety and security in hospitals</w:t>
      </w:r>
    </w:p>
    <w:p>
      <w:pPr>
        <w:jc w:val="both"/>
        <w:spacing w:before="100" w:after="100"/>
        <w:ind w:start="360"/>
        <w:ind w:firstLine="360"/>
      </w:pPr>
      <w:r>
        <w:rPr/>
      </w:r>
      <w:r>
        <w:rPr/>
      </w:r>
      <w:r>
        <w:t xml:space="preserve">A hospital licensed under this chapter shall, on an annual basis, adopt a safety and security plan to protect the patients, visitors and employees of the hospital from aggressive and violent behavior.  The safety and security plan must include a process for hospitals to receive and record incidents and threats of violent behavior occurring at or arising out of employment at the hospital.  The safety and security plan must prohibit a representative or employee of the hospital from interfering with a person making a report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2011, c. 254, §1 (NEW); PL 2011,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254, §1 (NEW). PL 2011,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§1832. SAFETY AND SECURITY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