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100"/>
        <w:ind w:start="360"/>
        <w:ind w:firstLine="360"/>
      </w:pPr>
      <w:r>
        <w:rPr>
          <w:b/>
        </w:rPr>
        <w:t>1</w:t>
        <w:t xml:space="preserve">.  </w:t>
      </w:r>
      <w:r>
        <w:rPr>
          <w:b/>
        </w:rPr>
        <w:t xml:space="preserve">Disallowed expenditure.</w:t>
        <w:t xml:space="preserve"> </w:t>
      </w:r>
      <w:r>
        <w:t xml:space="preserve"> </w:t>
      </w:r>
      <w:r>
        <w:t xml:space="preserve">"Disallowed expenditure" means an amount paid to any person for those acts or services rendered, which result in:</w:t>
      </w:r>
    </w:p>
    <w:p>
      <w:pPr>
        <w:jc w:val="both"/>
        <w:spacing w:before="100" w:after="0"/>
        <w:ind w:start="720"/>
      </w:pPr>
      <w:r>
        <w:rPr/>
        <w:t>A</w:t>
        <w:t xml:space="preserve">.  </w:t>
      </w:r>
      <w:r>
        <w:rPr/>
      </w:r>
      <w:r>
        <w:t xml:space="preserve">The commission of an unfair labor practice or prohibited practice as determined by:</w:t>
      </w:r>
    </w:p>
    <w:p>
      <w:pPr>
        <w:jc w:val="both"/>
        <w:spacing w:before="100" w:after="0"/>
        <w:ind w:start="1080"/>
      </w:pPr>
      <w:r>
        <w:rPr/>
        <w:t>(</w:t>
        <w:t>1</w:t>
        <w:t xml:space="preserve">)  </w:t>
      </w:r>
      <w:r>
        <w:rPr/>
      </w:r>
      <w:r>
        <w:t xml:space="preserve">The National Labor Relations Board pursuant to the United States Code, Title 29, Section 158;</w:t>
      </w:r>
    </w:p>
    <w:p>
      <w:pPr>
        <w:jc w:val="both"/>
        <w:spacing w:before="100" w:after="0"/>
        <w:ind w:start="1080"/>
      </w:pPr>
      <w:r>
        <w:rPr/>
        <w:t>(</w:t>
        <w:t>2</w:t>
        <w:t xml:space="preserve">)  </w:t>
      </w:r>
      <w:r>
        <w:rPr/>
      </w:r>
      <w:r>
        <w:t xml:space="preserve">The Maine Labor Relations Board pursuant to </w:t>
      </w:r>
      <w:r>
        <w:t>Title 26, chapter 7</w:t>
      </w:r>
      <w:r>
        <w:t xml:space="preserve">, </w:t>
      </w:r>
      <w:r>
        <w:t>9</w:t>
      </w:r>
      <w:r>
        <w:t xml:space="preserve">, </w:t>
      </w:r>
      <w:r>
        <w:t>9‑A</w:t>
      </w:r>
      <w:r>
        <w:t xml:space="preserve"> or </w:t>
      </w:r>
      <w:r>
        <w:t>9‑B</w:t>
      </w:r>
      <w:r>
        <w:t xml:space="preserve">; or</w:t>
      </w:r>
    </w:p>
    <w:p>
      <w:pPr>
        <w:jc w:val="both"/>
        <w:spacing w:before="100" w:after="0"/>
        <w:ind w:start="1080"/>
      </w:pPr>
      <w:r>
        <w:rPr/>
        <w:t>(</w:t>
        <w:t>3</w:t>
        <w:t xml:space="preserve">)  </w:t>
      </w:r>
      <w:r>
        <w:rPr/>
      </w:r>
      <w:r>
        <w:t xml:space="preserve">A court of competent jurisdiction pursuant to </w:t>
      </w:r>
      <w:r>
        <w:t>Title 26, section 911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720"/>
      </w:pPr>
      <w:r>
        <w:rPr/>
        <w:t>B</w:t>
        <w:t xml:space="preserve">.  </w:t>
      </w:r>
      <w:r>
        <w:rPr/>
      </w:r>
      <w:r>
        <w:t xml:space="preserve">Influencing employees respecting unionization, when costs for these activities are disallowed for reimbursement pursuant to Medicare law and regulation.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Health care institution.</w:t>
        <w:t xml:space="preserve"> </w:t>
      </w:r>
      <w:r>
        <w:t xml:space="preserve"> </w:t>
      </w:r>
      <w:r>
        <w:t xml:space="preserve">"Health care institution" means any person, partnership, association or corporation, including county or local government unit, required to obtain a license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person, partnership, association or corporation engaged or employed by a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Proportional share.</w:t>
        <w:t xml:space="preserve"> </w:t>
      </w:r>
      <w:r>
        <w:t xml:space="preserve"> </w:t>
      </w:r>
      <w:r>
        <w:t xml:space="preserve">"Proportional share" means the revenue received from the State during the previous 12 months, divided by the sum of revenue received from the State, 3rd party payors and patients during the corresponding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