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Prohibition against insurer discrimination</w:t>
      </w:r>
    </w:p>
    <w:p>
      <w:pPr>
        <w:jc w:val="both"/>
        <w:spacing w:before="100" w:after="100"/>
        <w:ind w:start="360"/>
        <w:ind w:firstLine="360"/>
      </w:pPr>
      <w:r>
        <w:rPr/>
      </w:r>
      <w:r>
        <w:rPr/>
      </w:r>
      <w:r>
        <w:t xml:space="preserve">Insurers may not consider the availability or eligibility for medical assistance under this Title pursuant to 42 United States Code, Chapter 7, Subchapter XIX when considering coverage eligibility or benefit calculations for insureds and covered family members or for individuals and their family members for whom application has been made for coverage.</w:t>
      </w:r>
      <w:r>
        <w:t xml:space="preserve">  </w:t>
      </w:r>
      <w:r xmlns:wp="http://schemas.openxmlformats.org/drawingml/2010/wordprocessingDrawing" xmlns:w15="http://schemas.microsoft.com/office/word/2012/wordml">
        <w:rPr>
          <w:rFonts w:ascii="Arial" w:hAnsi="Arial" w:cs="Arial"/>
          <w:sz w:val="22"/>
          <w:szCs w:val="22"/>
        </w:rPr>
        <w:t xml:space="preserve">[PL 1997, c. 795,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 Prohibition against insurer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Prohibition against insurer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 PROHIBITION AGAINST INSURER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