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Required staffing</w:t>
      </w:r>
    </w:p>
    <w:p>
      <w:pPr>
        <w:jc w:val="both"/>
        <w:spacing w:before="100" w:after="100"/>
        <w:ind w:start="360"/>
        <w:ind w:firstLine="360"/>
      </w:pPr>
      <w:r>
        <w:rPr/>
      </w:r>
      <w:r>
        <w:rPr/>
      </w:r>
      <w:r>
        <w:t xml:space="preserve">Notwithstanding any other provision of law, and without further approval or justification, the department shall promptly fill all public health nurse positions within the Public Health Nursing Program for which funding is provided.</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w:pPr>
        <w:jc w:val="both"/>
        <w:spacing w:before="100" w:after="100"/>
        <w:ind w:start="360"/>
        <w:ind w:firstLine="360"/>
      </w:pPr>
      <w:r>
        <w:rPr/>
      </w:r>
      <w:r>
        <w:rPr/>
      </w:r>
      <w:r>
        <w:t xml:space="preserve">The department shall widely post public notices for public health nurse vacancies under this section on publicly accessible state websites and in other appropriate locations.  Public notice must be posted within 30 days of the effective date of this section for vacancies then existing and within 30 days of each subsequent vacancy that occurs.  The department shall recruit and hire qualified individuals for these vacant positions.</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PL 2021, c. 398, Pt. NN,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Required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§1964. REQUIRED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