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Title</w:t>
      </w:r>
    </w:p>
    <w:p>
      <w:pPr>
        <w:jc w:val="both"/>
        <w:spacing w:before="100" w:after="100"/>
        <w:ind w:start="360"/>
        <w:ind w:firstLine="360"/>
      </w:pPr>
      <w:r>
        <w:rPr/>
      </w:r>
      <w:r>
        <w:rPr/>
      </w:r>
      <w:r>
        <w:t xml:space="preserve">This chapter shall be known as, and may be cited as, the "Maine Health and Higher Educational Facilities Authority Act."</w:t>
      </w:r>
      <w:r>
        <w:t xml:space="preserve">  </w:t>
      </w:r>
      <w:r xmlns:wp="http://schemas.openxmlformats.org/drawingml/2010/wordprocessingDrawing" xmlns:w15="http://schemas.microsoft.com/office/word/2012/wordml">
        <w:rPr>
          <w:rFonts w:ascii="Arial" w:hAnsi="Arial" w:cs="Arial"/>
          <w:sz w:val="22"/>
          <w:szCs w:val="22"/>
        </w:rPr>
        <w:t xml:space="preserve">[PL 1979, c. 680,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§2051.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§2051.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