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Applicability</w:t>
      </w:r>
    </w:p>
    <w:p>
      <w:pPr>
        <w:jc w:val="both"/>
        <w:spacing w:before="100" w:after="100"/>
        <w:ind w:start="360"/>
        <w:ind w:firstLine="360"/>
      </w:pPr>
      <w:r>
        <w:rPr/>
      </w:r>
      <w:r>
        <w:rPr/>
      </w:r>
      <w:r>
        <w:t xml:space="preserve">This chapter applies to referrals for health services made on or after January 1, 1994.  However, if a health care practitioner acquired an investment interest in a facility before January 1, 1993, this chapter does not apply to referrals by that health care practitioner to that facility before January 1, 1997.</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