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Purpose and intent</w:t>
      </w:r>
    </w:p>
    <w:p>
      <w:pPr>
        <w:jc w:val="both"/>
        <w:spacing w:before="100" w:after="100"/>
        <w:ind w:start="360"/>
        <w:ind w:firstLine="360"/>
      </w:pPr>
      <w:r>
        <w:rPr/>
      </w:r>
      <w:r>
        <w:rPr/>
      </w:r>
      <w:r>
        <w:t xml:space="preserve">The Legislature finds that licensure of all agencies and organizations providing home health services is desirable and it is the purpose of this chapter to protect the public and assure that home health services are provided under standards of safety, efficiency and quality.</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100"/>
        <w:ind w:start="360"/>
        <w:ind w:firstLine="360"/>
      </w:pPr>
      <w:r>
        <w:rPr/>
      </w:r>
      <w:r>
        <w:rPr/>
      </w:r>
      <w:r>
        <w:t xml:space="preserve">It is the intent of this chapter to set forth the statutory authorization for home health care licensure, including the standards, start-up procedures and means by which licensure is established.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§2141.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§2141.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