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License required</w:t>
      </w:r>
    </w:p>
    <w:p>
      <w:pPr>
        <w:jc w:val="both"/>
        <w:spacing w:before="100" w:after="100"/>
        <w:ind w:start="360"/>
        <w:ind w:firstLine="360"/>
      </w:pPr>
      <w:r>
        <w:rPr/>
      </w:r>
      <w:r>
        <w:rPr/>
      </w:r>
      <w:r>
        <w:t xml:space="preserve">A person, firm, corporation or copartnership may not operate a food establishment or a food salvage establishment or act as a salvage broker unless licensed for that purpose by the commissioner. In the case of retail food establishments, licenses issued must be made available at the retail food establishment for inspection by customers or other persons using the retail food establishment.</w:t>
      </w:r>
      <w:r>
        <w:t xml:space="preserve">  </w:t>
      </w:r>
      <w:r xmlns:wp="http://schemas.openxmlformats.org/drawingml/2010/wordprocessingDrawing" xmlns:w15="http://schemas.microsoft.com/office/word/2012/wordml">
        <w:rPr>
          <w:rFonts w:ascii="Arial" w:hAnsi="Arial" w:cs="Arial"/>
          <w:sz w:val="22"/>
          <w:szCs w:val="22"/>
        </w:rPr>
        <w:t xml:space="preserve">[PL 2011, c. 535, §2 (AMD).]</w:t>
      </w:r>
    </w:p>
    <w:p>
      <w:pPr>
        <w:jc w:val="both"/>
        <w:spacing w:before="100" w:after="100"/>
        <w:ind w:start="360"/>
        <w:ind w:firstLine="360"/>
      </w:pPr>
      <w:r>
        <w:rPr/>
      </w:r>
      <w:r>
        <w:rPr/>
      </w:r>
      <w:r>
        <w:t xml:space="preserve">In addition to the sanctions authorized in </w:t>
      </w:r>
      <w:r>
        <w:t>section 2172</w:t>
      </w:r>
      <w:r>
        <w:t xml:space="preserve">, a person, firm, corporation or copartnership that violates this licensing requirement or any condition placed on a license commits a civil violation for which a fine of not more than $500 may be adjudged for each offense and, in addition, the commissioner may suspend, revoke or refuse to renew any such license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§A54 (NEW). PL 1987, c. 374 (AMD). PL 1989, c. 664, §2 (AMD). PL 1991, c. 837, §A47 (AMD). PL 2003, c. 452, §K15 (AMD). PL 2003, c. 452, §X2 (AFF). PL 2011, c. 535,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§2167.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§2167.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