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2425</w:t>
        <w:t xml:space="preserve">.  </w:t>
      </w:r>
      <w:r>
        <w:rPr>
          <w:b/>
        </w:rPr>
        <w:t xml:space="preserve">Registry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§§28-36 (AMD). PL 2009, c. 631, §51 (AFF). PL 2011, c. 383, §§2-4 (AMD). PL 2011, c. 407, Pt. B, §§23-29 (AMD). PL 2011, c. 691, Pt. A, §§21, 22 (AMD). RR 2013, c. 2, §33 (COR). PL 2013, c. 394, §§2-6 (AMD). PL 2013, c. 396, §§9-11 (AMD). PL 2013, c. 516, §§10-14 (AMD). PL 2013, c. 595, Pt. J, §1 (AMD). PL 2013, c. 595, Pt. J, §4 (AFF). PL 2015, c. 475, §§19-21 (AMD). RR 2017, c. 1, §13 (COR). PL 2017, c. 409, Pt. E, §§7, 8 (AMD). PL 2017, c. 447, §§16-18 (AMD). PL 2017, c. 452, §11 (RP). PL 2019, c. 331,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§2425. Registry identification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§2425. Registry identification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§2425. REGISTRY IDENTIFICATION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