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256-B</w:t>
        <w:t xml:space="preserve">.  </w:t>
      </w:r>
      <w:r>
        <w:rPr>
          <w:b/>
        </w:rPr>
        <w:t xml:space="preserve">Collection of professional data</w:t>
      </w:r>
    </w:p>
    <w:p>
      <w:pPr>
        <w:jc w:val="both"/>
        <w:spacing w:before="100" w:after="100"/>
        <w:ind w:start="360"/>
        <w:ind w:firstLine="360"/>
      </w:pPr>
      <w:r>
        <w:rPr>
          <w:b/>
        </w:rPr>
        <w:t>1</w:t>
        <w:t xml:space="preserve">.  </w:t>
      </w:r>
      <w:r>
        <w:rPr>
          <w:b/>
        </w:rPr>
        <w:t xml:space="preserve">Voluntary surveys.</w:t>
        <w:t xml:space="preserve"> </w:t>
      </w:r>
      <w:r>
        <w:t xml:space="preserve"> </w:t>
      </w:r>
      <w:r>
        <w:t xml:space="preserve">All licensed, registered or certified persons, including all dependent practitioners, under the authority of the following boards must receive a voluntary survey with their licensure, registration or certification renewal beginning January 1, 2006:</w:t>
      </w:r>
    </w:p>
    <w:p>
      <w:pPr>
        <w:jc w:val="both"/>
        <w:spacing w:before="100" w:after="0"/>
        <w:ind w:start="720"/>
      </w:pPr>
      <w:r>
        <w:rPr/>
        <w:t>A</w:t>
        <w:t xml:space="preserve">.  </w:t>
      </w:r>
      <w:r>
        <w:rPr/>
      </w:r>
      <w:r>
        <w:t xml:space="preserve">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Board of Occupation Therapy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Board of Examiners on Speech Pathology and Audiology;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State Board of Nursing;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Board of Osteopathic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 PL 2015, c. 429, §23 (REV).]</w:t>
      </w:r>
    </w:p>
    <w:p>
      <w:pPr>
        <w:jc w:val="both"/>
        <w:spacing w:before="100" w:after="0"/>
        <w:ind w:start="720"/>
      </w:pPr>
      <w:r>
        <w:rPr/>
        <w:t>N</w:t>
        <w:t xml:space="preserve">.  </w:t>
      </w:r>
      <w:r>
        <w:rPr/>
      </w:r>
      <w:r>
        <w:t xml:space="preserve">State Board of Alcohol and Drug Counselors;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O</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2015, c. 429, §23 (REV).]</w:t>
      </w:r>
    </w:p>
    <w:p>
      <w:pPr>
        <w:jc w:val="both"/>
        <w:spacing w:before="100" w:after="100"/>
        <w:ind w:start="360"/>
        <w:ind w:firstLine="360"/>
      </w:pPr>
      <w:r>
        <w:rPr>
          <w:b/>
        </w:rPr>
        <w:t>2</w:t>
        <w:t xml:space="preserve">.  </w:t>
      </w:r>
      <w:r>
        <w:rPr>
          <w:b/>
        </w:rPr>
        <w:t xml:space="preserve">Information requested on survey.</w:t>
        <w:t xml:space="preserve"> </w:t>
      </w:r>
      <w:r>
        <w:t xml:space="preserve"> </w:t>
      </w:r>
      <w:r>
        <w:t xml:space="preserve">The voluntary surveys issued pursuant to </w:t>
      </w:r>
      <w:r>
        <w:t>subsection 1</w:t>
      </w:r>
      <w:r>
        <w:t xml:space="preserve"> must request the following information from persons seeking renewal of their licenses, registrations and certifications:</w:t>
      </w:r>
    </w:p>
    <w:p>
      <w:pPr>
        <w:jc w:val="both"/>
        <w:spacing w:before="100" w:after="0"/>
        <w:ind w:start="720"/>
      </w:pPr>
      <w:r>
        <w:rPr/>
        <w:t>A</w:t>
        <w:t xml:space="preserve">.  </w:t>
      </w:r>
      <w:r>
        <w:rPr/>
      </w:r>
      <w:r>
        <w:t xml:space="preserve">Home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Business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Birth year;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Gender;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Race;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Current employment status: employed in a health care field, employed in another field, seeking health care employment, temporarily not working and not seeking work, retired or not intending to return to work, or some specified other status;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Practice setting: a hospital, private practice, community clinic or nursing home; an academic, governmental or other institution; or some specified other setting;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Field of licensure, registration or certification;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Specialty credential, if any;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Whether the person plans to be working in health care 5 years from now;</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Basic and advanced education, degree earned and state where educated;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Number of hours hired to work in the person's primary position per week, average hours worked per week, preferred number of hours per week and number of hours providing direct care per week;</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In addition to the person's primary position, number of hours worked per week for other health care employers, if any;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N</w:t>
        <w:t xml:space="preserve">.  </w:t>
      </w:r>
      <w:r>
        <w:rPr/>
      </w:r>
      <w:r>
        <w:t xml:space="preserve">If not working in a health care occupation, the reasons: issues of wages or benefits, inability to find position desired, pursuit of education opportunities, pursuit of other career opportunity, retirement or some other specified reason.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Submission of surveys.</w:t>
        <w:t xml:space="preserve"> </w:t>
      </w:r>
      <w:r>
        <w:t xml:space="preserve"> </w:t>
      </w:r>
      <w:r>
        <w:t xml:space="preserve">All surveys conducted pursuant to </w:t>
      </w:r>
      <w:r>
        <w:t>subsection 1</w:t>
      </w:r>
      <w:r>
        <w:t xml:space="preserve"> must be submitted to the Office of Data, Research and Vital Statistics for analysis, and survey data from which personally identifiable information has been eliminated must be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 (AMD).]</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§3 (AMD). PL 2009, c. 601, §2 (AMD). PL 2015, c. 429,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§256-B. Collection of professional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§256-B. Collection of professional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§256-B. COLLECTION OF PROFESSIONAL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