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Fees for testing</w:t>
      </w:r>
    </w:p>
    <w:p>
      <w:pPr>
        <w:jc w:val="both"/>
        <w:spacing w:before="100" w:after="100"/>
        <w:ind w:start="360"/>
        <w:ind w:firstLine="360"/>
      </w:pPr>
      <w:r>
        <w:rPr/>
      </w:r>
      <w:r>
        <w:rPr/>
      </w:r>
      <w:r>
        <w:t xml:space="preserve">The department shall charge the average cost of the analysis for any examination, testing or analysis required under this chapter and performed in the departmental diagnostic laboratory. The fees must be recalculated and deposited according to </w:t>
      </w:r>
      <w:r>
        <w:t>section 565, subsection 3</w:t>
      </w:r>
      <w:r>
        <w:t xml:space="preserve"> and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2001, c. 471, §A26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§2602. Fees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Fees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§2602. FEES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