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Emergency planning</w:t>
      </w:r>
    </w:p>
    <w:p>
      <w:pPr>
        <w:jc w:val="both"/>
        <w:spacing w:before="100" w:after="100"/>
        <w:ind w:start="360"/>
        <w:ind w:firstLine="360"/>
      </w:pPr>
      <w:r>
        <w:rPr/>
      </w:r>
      <w:r>
        <w:rPr/>
      </w:r>
      <w:r>
        <w:t xml:space="preserve">The department shall develop plans, with the advice and assistance of the Bureau of Emergency Preparedness and of the public water systems of the State, for emergency conditions and situations that may endanger the public health or welfare by contamination of drinking water. Such plans shall include potential sources of contaminants and situations or conditions that could place them in the sources of public drinking water, techniques and methods to be used by public water systems to reduce or eliminate the dangers to public health caused thereby, methods and times for analysis or testing during such emergency conditions or situations, alternate sources of water available to public water systems and methods of supplying drinking water to consumers if a public water system cannot supply such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§2606.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§2606.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