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2623</w:t>
        <w:t xml:space="preserve">.  </w:t>
      </w:r>
      <w:r>
        <w:rPr>
          <w:b/>
        </w:rPr>
        <w:t xml:space="preserve">Applicability</w:t>
      </w:r>
    </w:p>
    <w:p>
      <w:pPr>
        <w:jc w:val="both"/>
        <w:spacing w:before="100" w:after="100"/>
        <w:ind w:start="360"/>
        <w:ind w:firstLine="360"/>
      </w:pPr>
      <w:r>
        <w:rPr/>
      </w:r>
      <w:r>
        <w:rPr/>
      </w:r>
      <w:r>
        <w:t xml:space="preserve">It is unlawful for any person to perform the duties of an operator, as defined, without being duly licensed under this subchapter, except as provided in </w:t>
      </w:r>
      <w:r>
        <w:t>section 2630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819, Pt. A,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819, §A55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§2623.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