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2813</w:t>
        <w:t xml:space="preserve">.  </w:t>
      </w:r>
      <w:r>
        <w:rPr>
          <w:b/>
        </w:rPr>
        <w:t xml:space="preserve">Short title</w:t>
      </w:r>
    </w:p>
    <w:p>
      <w:pPr>
        <w:jc w:val="both"/>
        <w:spacing w:before="100" w:after="100"/>
        <w:ind w:start="360"/>
        <w:ind w:firstLine="360"/>
      </w:pPr>
      <w:r>
        <w:rPr/>
      </w:r>
      <w:r>
        <w:rPr/>
      </w:r>
      <w:r>
        <w:t xml:space="preserve">This Act may be cited as the Uniform Determination of Death Act.</w:t>
      </w:r>
      <w:r>
        <w:t xml:space="preserve">  </w:t>
      </w:r>
      <w:r xmlns:wp="http://schemas.openxmlformats.org/drawingml/2010/wordprocessingDrawing" xmlns:w15="http://schemas.microsoft.com/office/word/2012/wordml">
        <w:rPr>
          <w:rFonts w:ascii="Arial" w:hAnsi="Arial" w:cs="Arial"/>
          <w:sz w:val="22"/>
          <w:szCs w:val="22"/>
        </w:rPr>
        <w:t xml:space="preserve">[PL 1983, c.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§2813.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§2813.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§2813.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