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360"/>
        <w:ind w:firstLine="360"/>
      </w:pPr>
      <w:r>
        <w:rPr/>
      </w:r>
      <w:r>
        <w:rPr/>
      </w:r>
      <w:r>
        <w:t xml:space="preserve">Except as authorized by the department, a dead human body may not be buried, cremated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 1405</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2009, c. 601, §27 (AMD).]</w:t>
      </w:r>
    </w:p>
    <w:p>
      <w:pPr>
        <w:jc w:val="both"/>
        <w:spacing w:before="100" w:after="100"/>
        <w:ind w:start="360"/>
        <w:ind w:firstLine="360"/>
      </w:pPr>
      <w:r>
        <w:rPr/>
      </w:r>
      <w:r>
        <w:rPr/>
      </w:r>
      <w:r>
        <w:t xml:space="preserve">The State Registrar of Vital Statistics, a municipal clerk or a subregistrar may issue a permit for final disposition by cremation, burial at sea, use by medical science or removal from the State only upon receipt of a certificate of release by a duly appointed medical examiner as specified in </w:t>
      </w:r>
      <w:r>
        <w:t>Title 32, 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 §1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funeral director or authorized person present at the burial or crematory in this State shall endorse or electronically affirm, and provide the date the body was or cremated remains were disposed of on, each such permit with which that person is presented, and return it to the State Registrar of Vital Statistics or to the clerk of the municipality in which the burying ground or crematory is located within 7 days after the date of disposition.  The funeral director or authorized person shall present a copy of each permit, after endorsement or electronic affirmation, to the State Registrar of Vital Statistics to be filed in the electronic death registration system authorized pursuant to </w:t>
      </w:r>
      <w:r>
        <w:t>section 2847</w:t>
      </w:r>
      <w:r>
        <w:t xml:space="preserve">.  The State Registrar of Vital Statistics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§3 (AMD).]</w:t>
      </w:r>
    </w:p>
    <w:p>
      <w:pPr>
        <w:jc w:val="both"/>
        <w:spacing w:before="100" w:after="100"/>
        <w:ind w:start="360"/>
        <w:ind w:firstLine="360"/>
      </w:pPr>
      <w:r>
        <w:rPr>
          <w:b/>
        </w:rPr>
        <w:t>3-A</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 PERMITS FOR FINAL DISPOSITION OF DEAD HUMAN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