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t>
        <w:t xml:space="preserve">.  </w:t>
      </w:r>
      <w:r>
        <w:rPr>
          <w:b/>
        </w:rPr>
        <w:t xml:space="preserve">Electronic death registration system</w:t>
      </w:r>
    </w:p>
    <w:p>
      <w:pPr>
        <w:jc w:val="both"/>
        <w:spacing w:before="100" w:after="100"/>
        <w:ind w:start="360"/>
        <w:ind w:firstLine="360"/>
      </w:pPr>
      <w:r>
        <w:rPr/>
      </w:r>
      <w:r>
        <w:rPr/>
      </w:r>
      <w:r>
        <w:t xml:space="preserve">A person authorized  to complete or file a certificate of death pursuant to </w:t>
      </w:r>
      <w:r>
        <w:t>section 2842</w:t>
      </w:r>
      <w:r>
        <w:t xml:space="preserve">  shall use the electronic death registration system maintained by the State Registrar of Vital Statistics.  This section does not apply to an authorized person under </w:t>
      </w:r>
      <w:r>
        <w:t>section 2846</w:t>
      </w:r>
      <w:r>
        <w:t xml:space="preserve">. The State Registrar of Vital Statistics shall adopt rules to carry out the purposes of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 §1 (AMD); PL 2017, c. 37,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371, §2 (NEW). PL 2017, c. 37, §1 (AMD). PL 2017, c. 37,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§2847. Electronic death registration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 Electronic death registration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§2847. ELECTRONIC DEATH REGISTRATION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