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Registration of recovery agencies</w:t>
      </w:r>
    </w:p>
    <w:p>
      <w:pPr>
        <w:jc w:val="both"/>
        <w:spacing w:before="100" w:after="0"/>
        <w:ind w:start="360"/>
        <w:ind w:firstLine="360"/>
      </w:pPr>
      <w:r>
        <w:rPr>
          <w:b/>
        </w:rPr>
        <w:t>1</w:t>
        <w:t xml:space="preserve">.  </w:t>
      </w:r>
      <w:r>
        <w:rPr>
          <w:b/>
        </w:rPr>
        <w:t xml:space="preserve">Registration.</w:t>
        <w:t xml:space="preserve"> </w:t>
      </w:r>
      <w:r>
        <w:t xml:space="preserve"> </w:t>
      </w:r>
      <w:r>
        <w:t xml:space="preserve">Except as provided under </w:t>
      </w:r>
      <w:r>
        <w:t>subsection 2</w:t>
      </w:r>
      <w:r>
        <w:t xml:space="preserve">, a recovery agency must be registered by the department prior to requesting, receiving or otherwise participating in an anatomical gift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governing the registration of recovery agencies.  The rules must provide for exemptions for organ procurement organizations designated by the United States Department of Health and Human Services and tissue banks registered with the United States Department of Health and Human Services, Food and Drug Administration that are in good standing with their respective federal oversight agencies.  The rules may provide for exemptions for other recovery agencies if such agencies operate in full compliance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may charge reasonable registration fees to defray administrative costs in administering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Registration of recovery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§2962. REGISTRATION OF RECOVERY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