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494 (NEW).]</w:t>
      </w:r>
    </w:p>
    <w:p>
      <w:pPr>
        <w:jc w:val="both"/>
        <w:spacing w:before="100" w:after="100"/>
        <w:ind w:start="360"/>
        <w:ind w:firstLine="360"/>
      </w:pPr>
      <w:r>
        <w:rPr>
          <w:b/>
        </w:rPr>
        <w:t>1</w:t>
        <w:t xml:space="preserve">.  </w:t>
      </w:r>
      <w:r>
        <w:rPr>
          <w:b/>
        </w:rPr>
        <w:t xml:space="preserve">Acquired brain injury.</w:t>
        <w:t xml:space="preserve"> </w:t>
      </w:r>
      <w:r>
        <w:t xml:space="preserve"> </w:t>
      </w:r>
      <w:r>
        <w:t xml:space="preserve">"Acquired brain injury" means an insult to the brain resulting directly or indirectly from trauma, anoxia, vascular lesions or infection, which:</w:t>
      </w:r>
    </w:p>
    <w:p>
      <w:pPr>
        <w:jc w:val="both"/>
        <w:spacing w:before="100" w:after="0"/>
        <w:ind w:start="720"/>
      </w:pPr>
      <w:r>
        <w:rPr/>
        <w:t>A</w:t>
        <w:t xml:space="preserve">.  </w:t>
      </w:r>
      <w:r>
        <w:rPr/>
      </w:r>
      <w:r>
        <w:t xml:space="preserve">Is not of a degenerative or congenital nature;</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B</w:t>
        <w:t xml:space="preserve">.  </w:t>
      </w:r>
      <w:r>
        <w:rPr/>
      </w:r>
      <w:r>
        <w:t xml:space="preserve">Can produce a diminished or altered state of consciousness resulting in impairment of cognitive abilities or physical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C</w:t>
        <w:t xml:space="preserve">.  </w:t>
      </w:r>
      <w:r>
        <w:rPr/>
      </w:r>
      <w:r>
        <w:t xml:space="preserve">Can result in the disturbance of behavioral or emotional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D</w:t>
        <w:t xml:space="preserve">.  </w:t>
      </w:r>
      <w:r>
        <w:rPr/>
      </w:r>
      <w:r>
        <w:t xml:space="preserve">Can be either temporary or permanent; and</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E</w:t>
        <w:t xml:space="preserve">.  </w:t>
      </w:r>
      <w:r>
        <w:rPr/>
      </w:r>
      <w:r>
        <w:t xml:space="preserve">Can cause partial or total functional disability or psychosocial maladjustment.</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1989, c. 501, §P26 (AMD). PL 2011,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