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§3173-B. Medically needy program; certain individuals in intermediate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§3173-B. MEDICALLY NEEDY PROGRAM; CERTAIN INDIVIDUALS IN INTERMEDIATE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