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3181</w:t>
        <w:t xml:space="preserve">.  </w:t>
      </w:r>
      <w:r>
        <w:rPr>
          <w:b/>
        </w:rPr>
        <w:t xml:space="preserve">Appeals</w:t>
      </w:r>
    </w:p>
    <w:p>
      <w:pPr>
        <w:jc w:val="both"/>
        <w:spacing w:before="100" w:after="0"/>
        <w:ind w:start="360"/>
        <w:ind w:firstLine="360"/>
      </w:pPr>
      <w:r>
        <w:rPr>
          <w:b/>
        </w:rPr>
        <w:t>1</w:t>
        <w:t xml:space="preserve">.  </w:t>
      </w:r>
      <w:r>
        <w:rPr>
          <w:b/>
        </w:rPr>
      </w:r>
      <w:r>
        <w:t xml:space="preserve"> </w:t>
      </w:r>
      <w:r>
        <w:t xml:space="preserve">A person who is denied aid, or who is not satisfied with the amount of aid allotted to the person, or is aggrieved by a decision of the department made under this chapter, or whose application is not acted upon with reasonable promptness, has the right of appeal to the commissioner, who shall provide the appellant with reasonable notice and opportunity for a fair hearing. The commissioner or a member of the department designated and authorized by the commissioner shall hear all evidence pertinent to the matter at issue and render a decision thereon within a reasonable period after the date of the hearing. The hearing must conform to the procedures detailed herein. Review of any action or failure to act under this chapter must be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§162 (COR).]</w:t>
      </w:r>
    </w:p>
    <w:p>
      <w:pPr>
        <w:jc w:val="both"/>
        <w:spacing w:before="100" w:after="0"/>
        <w:ind w:start="360"/>
        <w:ind w:firstLine="360"/>
      </w:pPr>
      <w:r>
        <w:rPr>
          <w:b/>
        </w:rPr>
        <w:t>2</w:t>
        <w:t xml:space="preserve">.  </w:t>
      </w:r>
      <w:r>
        <w:rPr>
          <w:b/>
        </w:rPr>
      </w:r>
      <w:r>
        <w:t xml:space="preserve"> </w:t>
      </w:r>
      <w:r>
        <w:t xml:space="preserve">Any action relative to the grant, denial, reduction, suspension or termination of aid provided under this chapter must be communicated to the applicant or recipient in writing and shall include the specific reason or reasons for such action and shall state that the person affected has a right to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1977, c. 594 (AMD). PL 1977, c. 694, §368 (AMD). RR 2021, c. 2, Pt. B, §162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§3181.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§3181.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§3181.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