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3193</w:t>
        <w:t xml:space="preserve">.  </w:t>
      </w:r>
      <w:r>
        <w:rPr>
          <w:b/>
        </w:rPr>
        <w:t xml:space="preserve">Affordable Health Care Fund</w:t>
      </w:r>
    </w:p>
    <w:p>
      <w:pPr>
        <w:jc w:val="both"/>
        <w:spacing w:before="100" w:after="100"/>
        <w:ind w:start="360"/>
      </w:pPr>
      <w:r>
        <w:rPr>
          <w:b/>
        </w:rPr>
        <w:t>(REALLOCATED FROM TITLE 22, SECTION 3192)</w:t>
      </w:r>
    </w:p>
    <w:p>
      <w:pPr>
        <w:jc w:val="both"/>
        <w:spacing w:before="100" w:after="100"/>
        <w:ind w:start="360"/>
        <w:ind w:firstLine="360"/>
      </w:pPr>
      <w:r>
        <w:rPr/>
      </w:r>
      <w:r>
        <w:rPr/>
      </w:r>
      <w:r>
        <w:t xml:space="preserve">The Affordable Health Care Fund is established to assist individuals with the costs of participation in community health access programs.  The fund is a nonlapsing fund and any excess funds may be used only for the purposes of this section.  The fund may be used only to subsidize the costs of community health access programs' fees.  The department shall establish subsidies on a sliding scale based on income for eligible individuals enrolled in community health access programs.  Individuals eligible for health coverage under the Medicaid or Medicare program are not eligible to receive a subsidy from this fund.</w:t>
      </w:r>
      <w:r>
        <w:t xml:space="preserve">  </w:t>
      </w:r>
      <w:r xmlns:wp="http://schemas.openxmlformats.org/drawingml/2010/wordprocessingDrawing" xmlns:w15="http://schemas.microsoft.com/office/word/2012/wordml">
        <w:rPr>
          <w:rFonts w:ascii="Arial" w:hAnsi="Arial" w:cs="Arial"/>
          <w:sz w:val="22"/>
          <w:szCs w:val="22"/>
        </w:rPr>
        <w:t xml:space="preserve">[RR 2001, c. 1, §27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§3193. Affordable Health Care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§3193. Affordable Health Care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§3193. AFFORDABLE HEALTH CARE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